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交通运输法</w:t>
      </w:r>
    </w:p>
    <w:p>
      <w:r>
        <w:rPr>
          <w:rFonts w:ascii="宋体" w:hAnsi="宋体" w:eastAsia="宋体"/>
          <w:sz w:val="24"/>
        </w:rPr>
        <w:t>陈家宏，林毅，陈迎新，颜诗树，邓君韬，魏琼编著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陈家宏，林毅，陈迎新，颜诗树，邓君韬，魏琼编著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本书出售、求购地址：https://www.jiaokey.com/book/detail/13507278.html</w:t>
      </w:r>
    </w:p>
    <w:p>
      <w:r>
        <w:t>更多相关图书推荐：https://www.jiaokey.com</w:t>
      </w:r>
    </w:p>
    <w:p>
      <w:r>
        <w:t>陈家宏，林毅，陈迎新，颜诗树，邓君韬，魏琼编著 其他作品：https://www.jiaokey.com/tag/陈家宏，林毅，陈迎新，颜诗树，邓君韬，魏琼编著.html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关键词搜索：https://www.jiaokey.com/tag/交通运输法.html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