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阿拉丁和神灯</w:t>
      </w:r>
    </w:p>
    <w:p>
      <w:r>
        <w:rPr>
          <w:rFonts w:ascii="宋体" w:hAnsi="宋体" w:eastAsia="宋体"/>
          <w:sz w:val="24"/>
        </w:rPr>
        <w:t>（英）伯顿原著；（韩）柳胜熙改编；（韩）沈胜业插图；千太阳翻译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阿拉丁和神灯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（英）伯顿原著；（韩）柳胜熙改编；（韩）沈胜业插图；千太阳翻译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本书出售、求购地址：https://www.jiaokey.com/book/detail/13506668.html</w:t>
      </w:r>
    </w:p>
    <w:p>
      <w:r>
        <w:t>更多相关图书推荐：https://www.jiaokey.com</w:t>
      </w:r>
    </w:p>
    <w:p>
      <w:r>
        <w:t>（英）伯顿原著；（韩）柳胜熙改编；（韩）沈胜业插图；千太阳翻译 其他作品：https://www.jiaokey.com/tag/（英）伯顿原著；（韩）柳胜熙改编；（韩）沈胜业插图；千太阳翻译.html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关键词搜索：https://www.jiaokey.com/tag/阿拉丁和神灯.html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