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机械零件常规加工</w:t>
      </w:r>
    </w:p>
    <w:p>
      <w:r>
        <w:rPr>
          <w:rFonts w:ascii="宋体" w:hAnsi="宋体" w:eastAsia="宋体"/>
          <w:sz w:val="24"/>
        </w:rPr>
        <w:t>何七荣，周平风主编；刘晓红，胡斌，张东升副主编；李雪英参编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机械零件常规加工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何七荣，周平风主编；刘晓红，胡斌，张东升副主编；李雪英参编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本书出售、求购地址：https://www.jiaokey.com/book/detail/13506185.html</w:t>
      </w:r>
    </w:p>
    <w:p>
      <w:r>
        <w:t>更多相关图书推荐：https://www.jiaokey.com</w:t>
      </w:r>
    </w:p>
    <w:p>
      <w:r>
        <w:t>何七荣，周平风主编；刘晓红，胡斌，张东升副主编；李雪英参编 其他作品：https://www.jiaokey.com/tag/何七荣，周平风主编；刘晓红，胡斌，张东升副主编；李雪英参编.html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关键词搜索：https://www.jiaokey.com/tag/机械零件常规加工.html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