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新编创伤外科急救学</w:t>
      </w:r>
    </w:p>
    <w:p>
      <w:r>
        <w:rPr>
          <w:rFonts w:ascii="宋体" w:hAnsi="宋体" w:eastAsia="宋体"/>
          <w:sz w:val="24"/>
        </w:rPr>
        <w:t>熊利泽总策划；尹文，黎军，赵威，李晓康主编；黄杨，王玉同，黄晓楠，王伯良，李业生副主编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新编创伤外科急救学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熊利泽总策划；尹文，黎军，赵威，李晓康主编；黄杨，王玉同，黄晓楠，王伯良，李业生副主编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本书出售、求购地址：https://www.jiaokey.com/book/detail/13505957.html</w:t>
      </w:r>
    </w:p>
    <w:p>
      <w:r>
        <w:t>更多相关图书推荐：https://www.jiaokey.com</w:t>
      </w:r>
    </w:p>
    <w:p>
      <w:r>
        <w:t>熊利泽总策划；尹文，黎军，赵威，李晓康主编；黄杨，王玉同，黄晓楠，王伯良，李业生副主编 其他作品：https://www.jiaokey.com/tag/熊利泽总策划；尹文，黎军，赵威，李晓康主编；黄杨，王玉同，黄晓楠，王伯良，李业生副主编.html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关键词搜索：https://www.jiaokey.com/tag/新编创伤外科急救学.html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