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财务成本管理</w:t>
      </w:r>
    </w:p>
    <w:p>
      <w:r>
        <w:rPr>
          <w:rFonts w:ascii="宋体" w:hAnsi="宋体" w:eastAsia="宋体"/>
          <w:sz w:val="24"/>
        </w:rPr>
        <w:t>上海国家会计学院组编；夏大慰，刘勤总编；刘正兵，施永霞编著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上海国家会计学院组编；夏大慰，刘勤总编；刘正兵，施永霞编著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本书出售、求购地址：https://www.jiaokey.com/book/detail/13503314.html</w:t>
      </w:r>
    </w:p>
    <w:p>
      <w:r>
        <w:t>更多相关图书推荐：https://www.jiaokey.com</w:t>
      </w:r>
    </w:p>
    <w:p>
      <w:r>
        <w:t>上海国家会计学院组编；夏大慰，刘勤总编；刘正兵，施永霞编著 其他作品：https://www.jiaokey.com/tag/上海国家会计学院组编；夏大慰，刘勤总编；刘正兵，施永霞编著.html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