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武当诗联（郧西卷）</w:t>
      </w:r>
    </w:p>
    <w:p>
      <w:r>
        <w:rPr>
          <w:rFonts w:ascii="宋体" w:hAnsi="宋体" w:eastAsia="宋体"/>
          <w:sz w:val="24"/>
        </w:rPr>
        <w:t>陈劳生主编；湖北省十堰市老年书画研究会，湖北省十堰市《武当诗联》编辑部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武当诗联（郧西卷）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陈劳生主编；湖北省十堰市老年书画研究会，湖北省十堰市《武当诗联》编辑部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本书出售、求购地址：https://www.jiaokey.com/book/detail/13499204.html</w:t>
      </w:r>
    </w:p>
    <w:p>
      <w:r>
        <w:t>更多相关图书推荐：https://www.jiaokey.com</w:t>
      </w:r>
    </w:p>
    <w:p>
      <w:r>
        <w:t>陈劳生主编；湖北省十堰市老年书画研究会，湖北省十堰市《武当诗联》编辑部 其他作品：https://www.jiaokey.com/tag/陈劳生主编；湖北省十堰市老年书画研究会，湖北省十堰市《武当诗联》编辑部.html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关键词搜索：https://www.jiaokey.com/tag/武当诗联（郧西卷）.html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