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欲望与绝爽  拉冈视野下的当代汉语文学与文化</w:t>
      </w:r>
    </w:p>
    <w:p>
      <w:r>
        <w:rPr>
          <w:rFonts w:ascii="宋体" w:hAnsi="宋体" w:eastAsia="宋体"/>
          <w:sz w:val="24"/>
        </w:rPr>
        <w:t>杨小滨著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欲望与绝爽  拉冈视野下的当代汉语文学与文化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本书出售、求购地址：https://www.jiaokey.com/book/detail/13498815.html</w:t>
      </w:r>
    </w:p>
    <w:p>
      <w:r>
        <w:t>更多相关图书推荐：https://www.jiaokey.com</w:t>
      </w:r>
    </w:p>
    <w:p>
      <w:r>
        <w:t>杨小滨著 其他作品：https://www.jiaokey.com/tag/杨小滨著.html</w:t>
      </w:r>
    </w:p>
    <w:p>
      <w:r>
        <w:t>麦田出版社 出版图书：https://www.jiaokey.com/tag/麦田出版社.html</w:t>
      </w:r>
    </w:p>
    <w:p>
      <w:r>
        <w:t>关键词搜索：https://www.jiaokey.com/tag/欲望与绝爽  拉冈视野下的当代汉语文学与文化.html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