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燃气涡轮发动机材料和零件的结构强度</w:t>
      </w:r>
    </w:p>
    <w:p>
      <w:r>
        <w:rPr>
          <w:rFonts w:ascii="宋体" w:hAnsi="宋体" w:eastAsia="宋体"/>
          <w:sz w:val="24"/>
        </w:rPr>
        <w:t>(苏)伊·阿·毕尔盖尔等著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燃气涡轮发动机材料和零件的结构强度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(苏)伊·阿·毕尔盖尔等著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本书出售、求购地址：https://www.jiaokey.com/book/detail/13495668.html</w:t>
      </w:r>
    </w:p>
    <w:p>
      <w:r>
        <w:t>更多相关图书推荐：https://www.jiaokey.com</w:t>
      </w:r>
    </w:p>
    <w:p>
      <w:r>
        <w:t>(苏)伊·阿·毕尔盖尔等著 其他作品：https://www.jiaokey.com/tag/(苏)伊·阿·毕尔盖尔等著.html</w:t>
      </w:r>
    </w:p>
    <w:p>
      <w:r>
        <w:t>关键词搜索：https://www.jiaokey.com/tag/燃气涡轮发动机材料和零件的结构强度.html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