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  成因、背景与后果  context and consequences</w:t>
      </w:r>
    </w:p>
    <w:p>
      <w:r>
        <w:rPr>
          <w:rFonts w:ascii="宋体" w:hAnsi="宋体" w:eastAsia="宋体"/>
          <w:sz w:val="24"/>
        </w:rPr>
        <w:t>（英）阿德利安·巴克莱（AdrianBuckley）著；王年咏译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  成因、背景与后果  context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（英）阿德利安·巴克莱（AdrianBuckley）著；王年咏译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本书出售、求购地址：https://www.jiaokey.com/book/detail/13495256.html</w:t>
      </w:r>
    </w:p>
    <w:p>
      <w:r>
        <w:t>更多相关图书推荐：https://www.jiaokey.com</w:t>
      </w:r>
    </w:p>
    <w:p>
      <w:r>
        <w:t>（英）阿德利安·巴克莱（AdrianBuckley）著；王年咏译 其他作品：https://www.jiaokey.com/tag/（英）阿德利安·巴克莱（AdrianBuckley）著；王年咏译.html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关键词搜索：https://www.jiaokey.com/tag/金融危机  成因、背景与后果  context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