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</w:t>
      </w:r>
    </w:p>
    <w:p>
      <w:r>
        <w:rPr>
          <w:rFonts w:ascii="宋体" w:hAnsi="宋体" w:eastAsia="宋体"/>
          <w:sz w:val="24"/>
        </w:rPr>
        <w:t>周莉，尚永庆主编；肖离离，覃聪，陶琳瑶副主编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周莉，尚永庆主编；肖离离，覃聪，陶琳瑶副主编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本书出售、求购地址：https://www.jiaokey.com/book/detail/13495112.html</w:t>
      </w:r>
    </w:p>
    <w:p>
      <w:r>
        <w:t>更多相关图书推荐：https://www.jiaokey.com</w:t>
      </w:r>
    </w:p>
    <w:p>
      <w:r>
        <w:t>周莉，尚永庆主编；肖离离，覃聪，陶琳瑶副主编 其他作品：https://www.jiaokey.com/tag/周莉，尚永庆主编；肖离离，覃聪，陶琳瑶副主编.html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关键词搜索：https://www.jiaokey.com/tag/网络营销实务.html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