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跨时空的汉法文化对话  下  差异与传承</w:t>
      </w:r>
    </w:p>
    <w:p>
      <w:r>
        <w:rPr>
          <w:rFonts w:ascii="宋体" w:hAnsi="宋体" w:eastAsia="宋体"/>
          <w:sz w:val="24"/>
        </w:rPr>
        <w:t>林志芸主编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跨时空的汉法文化对话  下  差异与传承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本书出售、求购地址：https://www.jiaokey.com/book/detail/13491165.html</w:t>
      </w:r>
    </w:p>
    <w:p>
      <w:r>
        <w:t>更多相关图书推荐：https://www.jiaokey.com</w:t>
      </w:r>
    </w:p>
    <w:p>
      <w:r>
        <w:t>林志芸主编 其他作品：https://www.jiaokey.com/tag/林志芸主编.html</w:t>
      </w:r>
    </w:p>
    <w:p>
      <w:r>
        <w:t>国立中央大学出版中心 出版图书：https://www.jiaokey.com/tag/国立中央大学出版中心.html</w:t>
      </w:r>
    </w:p>
    <w:p>
      <w:r>
        <w:t>关键词搜索：https://www.jiaokey.com/tag/跨时空的汉法文化对话  下  差异与传承.html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