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当代建筑第三人称  在解构与简约间流动  静止的艺术</w:t>
      </w:r>
    </w:p>
    <w:p>
      <w:r>
        <w:rPr>
          <w:rFonts w:ascii="宋体" w:hAnsi="宋体" w:eastAsia="宋体"/>
          <w:sz w:val="24"/>
        </w:rPr>
        <w:t>谢国钟著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当代建筑第三人称  在解构与简约间流动  静止的艺术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本书出售、求购地址：https://www.jiaokey.com/book/detail/13491163.html</w:t>
      </w:r>
    </w:p>
    <w:p>
      <w:r>
        <w:t>更多相关图书推荐：https://www.jiaokey.com</w:t>
      </w:r>
    </w:p>
    <w:p>
      <w:r>
        <w:t>谢国钟著 其他作品：https://www.jiaokey.com/tag/谢国钟著.html</w:t>
      </w:r>
    </w:p>
    <w:p>
      <w:r>
        <w:t>商周出版社 出版图书：https://www.jiaokey.com/tag/商周出版社.html</w:t>
      </w:r>
    </w:p>
    <w:p>
      <w:r>
        <w:t>关键词搜索：https://www.jiaokey.com/tag/当代建筑第三人称  在解构与简约间流动  静止的艺术.html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