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图鉴百年文献：晚清民国年间小报源流特点探究</w:t>
      </w:r>
    </w:p>
    <w:p>
      <w:r>
        <w:rPr>
          <w:rFonts w:ascii="宋体" w:hAnsi="宋体" w:eastAsia="宋体"/>
          <w:sz w:val="24"/>
        </w:rPr>
        <w:t>祝均宙著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图鉴百年文献：晚清民国年间小报源流特点探究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本书出售、求购地址：https://www.jiaokey.com/book/detail/13490770.html</w:t>
      </w:r>
    </w:p>
    <w:p>
      <w:r>
        <w:t>更多相关图书推荐：https://www.jiaokey.com</w:t>
      </w:r>
    </w:p>
    <w:p>
      <w:r>
        <w:t>祝均宙著 其他作品：https://www.jiaokey.com/tag/祝均宙著.html</w:t>
      </w:r>
    </w:p>
    <w:p>
      <w:r>
        <w:t>华艺学术出版社 出版图书：https://www.jiaokey.com/tag/华艺学术出版社.html</w:t>
      </w:r>
    </w:p>
    <w:p>
      <w:r>
        <w:t>关键词搜索：https://www.jiaokey.com/tag/图鉴百年文献：晚清民国年间小报源流特点探究.html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