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新世纪卡通漫画技法  3  角色篇</w:t>
      </w:r>
    </w:p>
    <w:p>
      <w:r>
        <w:rPr>
          <w:rFonts w:ascii="宋体" w:hAnsi="宋体" w:eastAsia="宋体"/>
          <w:sz w:val="24"/>
        </w:rPr>
        <w:t>（日）塚本博义，真山明久著；丁莲，潘琳，吴婷婷等译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新世纪卡通漫画技法  3  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（日）塚本博义，真山明久著；丁莲，潘琳，吴婷婷等译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本书出售、求购地址：https://www.jiaokey.com/book/detail/13488249.html</w:t>
      </w:r>
    </w:p>
    <w:p>
      <w:r>
        <w:t>更多相关图书推荐：https://www.jiaokey.com</w:t>
      </w:r>
    </w:p>
    <w:p>
      <w:r>
        <w:t>（日）塚本博义，真山明久著；丁莲，潘琳，吴婷婷等译 其他作品：https://www.jiaokey.com/tag/（日）塚本博义，真山明久著；丁莲，潘琳，吴婷婷等译.html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关键词搜索：https://www.jiaokey.com/tag/新世纪卡通漫画技法  3  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