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从分析框架看财务职能  掌握财务发展方向主动权</w:t>
      </w:r>
    </w:p>
    <w:p>
      <w:r>
        <w:rPr>
          <w:rFonts w:ascii="宋体" w:hAnsi="宋体" w:eastAsia="宋体"/>
          <w:sz w:val="24"/>
        </w:rPr>
        <w:t>（英）英格兰及威尔士特许会计师协会财务管理专业技术委员会著；上海国家会计学院全国会计领军人才培养项目一期赴英国培训团译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从分析框架看财务职能  掌握财务发展方向主动权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（英）英格兰及威尔士特许会计师协会财务管理专业技术委员会著；上海国家会计学院全国会计领军人才培养项目一期赴英国培训团译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本书出售、求购地址：https://www.jiaokey.com/book/detail/13487097.html</w:t>
      </w:r>
    </w:p>
    <w:p>
      <w:r>
        <w:t>更多相关图书推荐：https://www.jiaokey.com</w:t>
      </w:r>
    </w:p>
    <w:p>
      <w:r>
        <w:t>（英）英格兰及威尔士特许会计师协会财务管理专业技术委员会著；上海国家会计学院全国会计领军人才培养项目一期赴英国培训团译 其他作品：https://www.jiaokey.com/tag/（英）英格兰及威尔士特许会计师协会财务管理专业技术委员会著；上海国家会计学院全国会计领军人才培养项目一期赴英国培训团译.html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关键词搜索：https://www.jiaokey.com/tag/从分析框架看财务职能  掌握财务发展方向主动权.html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