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供临床、基础、预防、护理、检验、口腔、药学等专业用</w:t>
      </w:r>
    </w:p>
    <w:p>
      <w:r>
        <w:rPr>
          <w:rFonts w:ascii="宋体" w:hAnsi="宋体" w:eastAsia="宋体"/>
          <w:sz w:val="24"/>
        </w:rPr>
        <w:t>解军，侯筱宇主编；关亚群，李存保，雷霆雯，田余祥副主编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供临床、基础、预防、护理、检验、口腔、药学等专业用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解军，侯筱宇主编；关亚群，李存保，雷霆雯，田余祥副主编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本书出售、求购地址：https://www.jiaokey.com/book/detail/13486467.html</w:t>
      </w:r>
    </w:p>
    <w:p>
      <w:r>
        <w:t>更多相关图书推荐：https://www.jiaokey.com</w:t>
      </w:r>
    </w:p>
    <w:p>
      <w:r>
        <w:t>解军，侯筱宇主编；关亚群，李存保，雷霆雯，田余祥副主编 其他作品：https://www.jiaokey.com/tag/解军，侯筱宇主编；关亚群，李存保，雷霆雯，田余祥副主编.html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供临床、基础、预防、护理、检验、口腔、药学等专业用.html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