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注射成型</w:t>
      </w:r>
    </w:p>
    <w:p>
      <w:r>
        <w:rPr>
          <w:rFonts w:ascii="宋体" w:hAnsi="宋体" w:eastAsia="宋体"/>
          <w:sz w:val="24"/>
        </w:rPr>
        <w:t>穆沙R.卡迈勒，阿芙拉姆J.伊萨耶夫，刘士荣主编；吴大鸣等译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穆沙R.卡迈勒，阿芙拉姆J.伊萨耶夫，刘士荣主编；吴大鸣等译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本书出售、求购地址：https://www.jiaokey.com/book/detail/13482608.html</w:t>
      </w:r>
    </w:p>
    <w:p>
      <w:r>
        <w:t>更多相关图书推荐：https://www.jiaokey.com</w:t>
      </w:r>
    </w:p>
    <w:p>
      <w:r>
        <w:t>穆沙R.卡迈勒，阿芙拉姆J.伊萨耶夫，刘士荣主编；吴大鸣等译 其他作品：https://www.jiaokey.com/tag/穆沙R.卡迈勒，阿芙拉姆J.伊萨耶夫，刘士荣主编；吴大鸣等译.html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