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来自“别一世界”的启示：现代中国文学中的乌托邦与乌托邦心态</w:t>
      </w:r>
    </w:p>
    <w:p>
      <w:r>
        <w:rPr>
          <w:rFonts w:ascii="宋体" w:hAnsi="宋体" w:eastAsia="宋体"/>
          <w:sz w:val="24"/>
        </w:rPr>
        <w:t>耿传明著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来自“别一世界”的启示：现代中国文学中的乌托邦与乌托邦心态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本书出售、求购地址：https://www.jiaokey.com/book/detail/13480055.html</w:t>
      </w:r>
    </w:p>
    <w:p>
      <w:r>
        <w:t>更多相关图书推荐：https://www.jiaokey.com</w:t>
      </w:r>
    </w:p>
    <w:p>
      <w:r>
        <w:t>耿传明著 其他作品：https://www.jiaokey.com/tag/耿传明著.html</w:t>
      </w:r>
    </w:p>
    <w:p>
      <w:r>
        <w:t>南天大学出版社 出版图书：https://www.jiaokey.com/tag/南天大学出版社.html</w:t>
      </w:r>
    </w:p>
    <w:p>
      <w:r>
        <w:t>关键词搜索：https://www.jiaokey.com/tag/来自“别一世界”的启示：现代中国文学中的乌托邦与乌托邦心态.html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