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AO专项资金审计应用实例</w:t>
      </w:r>
    </w:p>
    <w:p>
      <w:r>
        <w:rPr>
          <w:rFonts w:ascii="宋体" w:hAnsi="宋体" w:eastAsia="宋体"/>
          <w:sz w:val="24"/>
        </w:rPr>
        <w:t>马社亮，陈立民，李玲等编写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AO专项资金审计应用实例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马社亮，陈立民，李玲等编写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本书出售、求购地址：https://www.jiaokey.com/book/detail/13479881.html</w:t>
      </w:r>
    </w:p>
    <w:p>
      <w:r>
        <w:t>更多相关图书推荐：https://www.jiaokey.com</w:t>
      </w:r>
    </w:p>
    <w:p>
      <w:r>
        <w:t>马社亮，陈立民，李玲等编写 其他作品：https://www.jiaokey.com/tag/马社亮，陈立民，李玲等编写.html</w:t>
      </w:r>
    </w:p>
    <w:p>
      <w:r>
        <w:t>中国时代出版社 出版图书：https://www.jiaokey.com/tag/中国时代出版社.html</w:t>
      </w:r>
    </w:p>
    <w:p>
      <w:r>
        <w:t>关键词搜索：https://www.jiaokey.com/tag/AO专项资金审计应用实例.html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