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AO投资审计应用实例</w:t>
      </w:r>
    </w:p>
    <w:p>
      <w:r>
        <w:rPr>
          <w:rFonts w:ascii="宋体" w:hAnsi="宋体" w:eastAsia="宋体"/>
          <w:sz w:val="24"/>
        </w:rPr>
        <w:t>凌虹，陈立民，孙炜航等编写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AO投资审计应用实例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凌虹，陈立民，孙炜航等编写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本书出售、求购地址：https://www.jiaokey.com/book/detail/13479879.html</w:t>
      </w:r>
    </w:p>
    <w:p>
      <w:r>
        <w:t>更多相关图书推荐：https://www.jiaokey.com</w:t>
      </w:r>
    </w:p>
    <w:p>
      <w:r>
        <w:t>凌虹，陈立民，孙炜航等编写 其他作品：https://www.jiaokey.com/tag/凌虹，陈立民，孙炜航等编写.html</w:t>
      </w:r>
    </w:p>
    <w:p>
      <w:r>
        <w:t>中国时代出版社 出版图书：https://www.jiaokey.com/tag/中国时代出版社.html</w:t>
      </w:r>
    </w:p>
    <w:p>
      <w:r>
        <w:t>关键词搜索：https://www.jiaokey.com/tag/AO投资审计应用实例.html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