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挖掘媒体资源富矿基于传媒主体的新闻信息资源利用研究</w:t>
      </w:r>
    </w:p>
    <w:p>
      <w:r>
        <w:rPr>
          <w:rFonts w:ascii="宋体" w:hAnsi="宋体" w:eastAsia="宋体"/>
          <w:sz w:val="24"/>
        </w:rPr>
        <w:t>范世清著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挖掘媒体资源富矿基于传媒主体的新闻信息资源利用研究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范世清著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本书出售、求购地址：https://www.jiaokey.com/book/detail/13474632.html</w:t>
      </w:r>
    </w:p>
    <w:p>
      <w:r>
        <w:t>更多相关图书推荐：https://www.jiaokey.com</w:t>
      </w:r>
    </w:p>
    <w:p>
      <w:r>
        <w:t>范世清著 其他作品：https://www.jiaokey.com/tag/范世清著.html</w:t>
      </w:r>
    </w:p>
    <w:p>
      <w:r>
        <w:t>关键词搜索：https://www.jiaokey.com/tag/挖掘媒体资源富矿基于传媒主体的新闻信息资源利用研究.html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