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文化响应教学法：理论，研究，与实施</w:t>
      </w:r>
    </w:p>
    <w:p>
      <w:r>
        <w:rPr>
          <w:rFonts w:ascii="宋体" w:hAnsi="宋体" w:eastAsia="宋体"/>
          <w:sz w:val="24"/>
        </w:rPr>
        <w:t>吉内娃·盖伊（GenevaGay）作；解志强等译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文化响应教学法：理论，研究，与实施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吉内娃·盖伊（GenevaGay）作；解志强等译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本书出售、求购地址：https://www.jiaokey.com/book/detail/13474062.html</w:t>
      </w:r>
    </w:p>
    <w:p>
      <w:r>
        <w:t>更多相关图书推荐：https://www.jiaokey.com</w:t>
      </w:r>
    </w:p>
    <w:p>
      <w:r>
        <w:t>吉内娃·盖伊（GenevaGay）作；解志强等译 其他作品：https://www.jiaokey.com/tag/吉内娃·盖伊（GenevaGay）作；解志强等译.html</w:t>
      </w:r>
    </w:p>
    <w:p>
      <w:r>
        <w:t>文景书局有限公司 出版图书：https://www.jiaokey.com/tag/文景书局有限公司.html</w:t>
      </w:r>
    </w:p>
    <w:p>
      <w:r>
        <w:t>关键词搜索：https://www.jiaokey.com/tag/文化响应教学法：理论，研究，与实施.html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