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浩荡两千年：一本书读透中国政商关系</w:t>
      </w:r>
    </w:p>
    <w:p>
      <w:r>
        <w:rPr>
          <w:rFonts w:ascii="宋体" w:hAnsi="宋体" w:eastAsia="宋体"/>
          <w:sz w:val="24"/>
        </w:rPr>
        <w:t>吴晓波著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浩荡两千年：一本书读透中国政商关系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本书出售、求购地址：https://www.jiaokey.com/book/detail/13473983.html</w:t>
      </w:r>
    </w:p>
    <w:p>
      <w:r>
        <w:t>更多相关图书推荐：https://www.jiaokey.com</w:t>
      </w:r>
    </w:p>
    <w:p>
      <w:r>
        <w:t>吴晓波著 其他作品：https://www.jiaokey.com/tag/吴晓波著.html</w:t>
      </w:r>
    </w:p>
    <w:p>
      <w:r>
        <w:t>商周出版社 出版图书：https://www.jiaokey.com/tag/商周出版社.html</w:t>
      </w:r>
    </w:p>
    <w:p>
      <w:r>
        <w:t>关键词搜索：https://www.jiaokey.com/tag/浩荡两千年：一本书读透中国政商关系.html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