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  三角镇  湾下村  侯氏十八世祖豫淑公家谱</w:t>
      </w:r>
    </w:p>
    <w:p>
      <w:r>
        <w:rPr>
          <w:rFonts w:ascii="宋体" w:hAnsi="宋体" w:eastAsia="宋体"/>
          <w:sz w:val="24"/>
        </w:rPr>
        <w:t>侯彥祥，侯光兴主编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  三角镇  湾下村  侯氏十八世祖豫淑公家谱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侯彥祥，侯光兴主编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本书出售、求购地址：https://www.jiaokey.com/book/detail/13472594.html</w:t>
      </w:r>
    </w:p>
    <w:p>
      <w:r>
        <w:t>更多相关图书推荐：https://www.jiaokey.com</w:t>
      </w:r>
    </w:p>
    <w:p>
      <w:r>
        <w:t>侯彥祥，侯光兴主编 其他作品：https://www.jiaokey.com/tag/侯彥祥，侯光兴主编.html</w:t>
      </w:r>
    </w:p>
    <w:p>
      <w:r>
        <w:t>关键词搜索：https://www.jiaokey.com/tag/梅州市  三角镇  湾下村  侯氏十八世祖豫淑公家谱.html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