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行政诉讼权保障之现代意义  以2004年日本行政事件诉讼法修正为中心</w:t>
      </w:r>
    </w:p>
    <w:p>
      <w:r>
        <w:rPr>
          <w:rFonts w:ascii="宋体" w:hAnsi="宋体" w:eastAsia="宋体"/>
          <w:sz w:val="24"/>
        </w:rPr>
        <w:t>阙铭富著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行政诉讼权保障之现代意义  以2004年日本行政事件诉讼法修正为中心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阙铭富著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台湾法学出版股份有限公司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本书出售、求购地址：https://www.jiaokey.com/book/detail/13471810.html</w:t>
      </w:r>
    </w:p>
    <w:p>
      <w:r>
        <w:t>更多相关图书推荐：https://www.jiaokey.com</w:t>
      </w:r>
    </w:p>
    <w:p>
      <w:r>
        <w:t>阙铭富著 其他作品：https://www.jiaokey.com/tag/阙铭富著.html</w:t>
      </w:r>
    </w:p>
    <w:p>
      <w:r>
        <w:t>台湾法学出版股份有限公司 出版图书：https://www.jiaokey.com/tag/台湾法学出版股份有限公司.html</w:t>
      </w:r>
    </w:p>
    <w:p>
      <w:r>
        <w:t>关键词搜索：https://www.jiaokey.com/tag/行政诉讼权保障之现代意义  以2004年日本行政事件诉讼法修正为中心.html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