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  高一-高二</w:t>
      </w:r>
    </w:p>
    <w:p>
      <w:r>
        <w:rPr>
          <w:rFonts w:ascii="宋体" w:hAnsi="宋体" w:eastAsia="宋体"/>
          <w:sz w:val="24"/>
        </w:rPr>
        <w:t>莫·乔克茜，帕泰普·夏尔马（印度）改写；卞玉玲，杨晓郁注释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  高一-高二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莫·乔克茜，帕泰普·夏尔马（印度）改写；卞玉玲，杨晓郁注释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本书出售、求购地址：https://www.jiaokey.com/book/detail/13467447.html</w:t>
      </w:r>
    </w:p>
    <w:p>
      <w:r>
        <w:t>更多相关图书推荐：https://www.jiaokey.com</w:t>
      </w:r>
    </w:p>
    <w:p>
      <w:r>
        <w:t>莫·乔克茜，帕泰普·夏尔马（印度）改写；卞玉玲，杨晓郁注释 其他作品：https://www.jiaokey.com/tag/莫·乔克茜，帕泰普·夏尔马（印度）改写；卞玉玲，杨晓郁注释.html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关键词搜索：https://www.jiaokey.com/tag/黑美人  高一-高二.html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