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画法几何及工程制图</w:t>
      </w:r>
    </w:p>
    <w:p>
      <w:r>
        <w:rPr>
          <w:rFonts w:ascii="宋体" w:hAnsi="宋体" w:eastAsia="宋体"/>
          <w:sz w:val="24"/>
        </w:rPr>
        <w:t>侯志敏，陈慧珍，高智富主编；全越，徐淑姣，单译副主编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侯志敏，陈慧珍，高智富主编；全越，徐淑姣，单译副主编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本书出售、求购地址：https://www.jiaokey.com/book/detail/13465894.html</w:t>
      </w:r>
    </w:p>
    <w:p>
      <w:r>
        <w:t>更多相关图书推荐：https://www.jiaokey.com</w:t>
      </w:r>
    </w:p>
    <w:p>
      <w:r>
        <w:t>侯志敏，陈慧珍，高智富主编；全越，徐淑姣，单译副主编 其他作品：https://www.jiaokey.com/tag/侯志敏，陈慧珍，高智富主编；全越，徐淑姣，单译副主编.html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关键词搜索：https://www.jiaokey.com/tag/画法几何及工程制图.html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