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构成基础设计</w:t>
      </w:r>
    </w:p>
    <w:p>
      <w:r>
        <w:rPr>
          <w:rFonts w:ascii="宋体" w:hAnsi="宋体" w:eastAsia="宋体"/>
          <w:sz w:val="24"/>
        </w:rPr>
        <w:t>暴秋实，姚冲主编；张如画；田园，肖洁，龚启明编著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暴秋实，姚冲主编；张如画；田园，肖洁，龚启明编著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艺术构成-高等学校-教材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本书出售、求购地址：https://www.jiaokey.com/book/detail/13465508.html</w:t>
      </w:r>
    </w:p>
    <w:p>
      <w:r>
        <w:t>更多相关图书推荐：https://www.jiaokey.com</w:t>
      </w:r>
    </w:p>
    <w:p>
      <w:r>
        <w:t>暴秋实，姚冲主编；张如画；田园，肖洁，龚启明编著 其他作品：https://www.jiaokey.com/tag/暴秋实，姚冲主编；张如画；田园，肖洁，龚启明编著.html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关键词搜索：https://www.jiaokey.com/tag/艺术构成-高等学校-教材.html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