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促进产业结构调整税收政策及现代增值税研究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促进产业结构调整税收政策及现代增值税研究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本书出售、求购地址：https://www.jiaokey.com/book/detail/13464993.html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关键词搜索：https://www.jiaokey.com/tag/促进产业结构调整税收政策及现代增值税研究.html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