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商品流通企业会计习题解答</w:t>
      </w:r>
    </w:p>
    <w:p>
      <w:r>
        <w:rPr>
          <w:rFonts w:ascii="宋体" w:hAnsi="宋体" w:eastAsia="宋体"/>
          <w:sz w:val="24"/>
        </w:rPr>
        <w:t>赵泽松，钱克培主编；陈历贵主审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赵泽松，钱克培主编；陈历贵主审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商品流通企业会计习题解答编写组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本书出售、求购地址：https://www.jiaokey.com/book/detail/13462478.html</w:t>
      </w:r>
    </w:p>
    <w:p>
      <w:r>
        <w:t>更多相关图书推荐：https://www.jiaokey.com</w:t>
      </w:r>
    </w:p>
    <w:p>
      <w:r>
        <w:t>赵泽松，钱克培主编；陈历贵主审 其他作品：https://www.jiaokey.com/tag/赵泽松，钱克培主编；陈历贵主审.html</w:t>
      </w:r>
    </w:p>
    <w:p>
      <w:r>
        <w:t>商品流通企业会计习题解答编写组 出版图书：https://www.jiaokey.com/tag/商品流通企业会计习题解答编写组.html</w:t>
      </w:r>
    </w:p>
    <w:p>
      <w:r>
        <w:t>关键词搜索：https://www.jiaokey.com/tag/商品流通企业会计习题解答.html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