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咳喘病效验录</w:t>
      </w:r>
    </w:p>
    <w:p>
      <w:r>
        <w:rPr>
          <w:rFonts w:ascii="宋体" w:hAnsi="宋体" w:eastAsia="宋体"/>
          <w:sz w:val="24"/>
        </w:rPr>
        <w:t>张玉珠主编；梁亚齐，赵惠梅副主编；于美华，刘延梅，张丽艳，霍华英编委；马辉丛书总主编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咳喘病效验录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张玉珠主编；梁亚齐，赵惠梅副主编；于美华，刘延梅，张丽艳，霍华英编委；马辉丛书总主编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本书出售、求购地址：https://www.jiaokey.com/book/detail/13460865.html</w:t>
      </w:r>
    </w:p>
    <w:p>
      <w:r>
        <w:t>更多相关图书推荐：https://www.jiaokey.com</w:t>
      </w:r>
    </w:p>
    <w:p>
      <w:r>
        <w:t>张玉珠主编；梁亚齐，赵惠梅副主编；于美华，刘延梅，张丽艳，霍华英编委；马辉丛书总主编 其他作品：https://www.jiaokey.com/tag/张玉珠主编；梁亚齐，赵惠梅副主编；于美华，刘延梅，张丽艳，霍华英编委；马辉丛书总主编.html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关键词搜索：https://www.jiaokey.com/tag/咳喘病效验录.html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