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古迹及历史建筑木构造生物劣化防治日常维护手册</w:t>
      </w:r>
    </w:p>
    <w:p>
      <w:r>
        <w:rPr>
          <w:rFonts w:ascii="宋体" w:hAnsi="宋体" w:eastAsia="宋体"/>
          <w:sz w:val="24"/>
        </w:rPr>
        <w:t>唐潮文创设计事业有限公司编辑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古迹及历史建筑木构造生物劣化防治日常维护手册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唐潮文创设计事业有限公司编辑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文化部文化资产局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本书出售、求购地址：https://www.jiaokey.com/book/detail/13459633.html</w:t>
      </w:r>
    </w:p>
    <w:p>
      <w:r>
        <w:t>更多相关图书推荐：https://www.jiaokey.com</w:t>
      </w:r>
    </w:p>
    <w:p>
      <w:r>
        <w:t>唐潮文创设计事业有限公司编辑 其他作品：https://www.jiaokey.com/tag/唐潮文创设计事业有限公司编辑.html</w:t>
      </w:r>
    </w:p>
    <w:p>
      <w:r>
        <w:t>文化部文化资产局 出版图书：https://www.jiaokey.com/tag/文化部文化资产局.html</w:t>
      </w:r>
    </w:p>
    <w:p>
      <w:r>
        <w:t>关键词搜索：https://www.jiaokey.com/tag/古迹及历史建筑木构造生物劣化防治日常维护手册.html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