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书名：货币错配的宏观经济影响及对策研究  基于中国1985-2009年的统计数据</w:t>
      </w:r>
    </w:p>
    <w:p>
      <w:r>
        <w:t>作者：李雪莲著</w:t>
      </w:r>
    </w:p>
    <w:p>
      <w:r>
        <w:t>出版社：北京：中国经济出版社</w:t>
      </w:r>
    </w:p>
    <w:p>
      <w:r>
        <w:t>出版日期：2013.12</w:t>
      </w:r>
    </w:p>
    <w:p>
      <w:r>
        <w:t>总页数：264</w:t>
      </w:r>
    </w:p>
    <w:p>
      <w:r>
        <w:t>更多请访问教客网: www.jiaokey.com</w:t>
      </w:r>
    </w:p>
    <w:p>
      <w:r>
        <w:t>货币错配的宏观经济影响及对策研究  基于中国1985-2009年的统计数据 评论地址：https://www.jiaokey.com/book/detail/13459130.html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