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现代服务业税收政策研究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本书出售、求购地址：https://www.jiaokey.com/book/detail/13458491.html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关键词搜索：https://www.jiaokey.com/tag/现代服务业税收政策研究.html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