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核酸适配体手册：功能性寡核苷酸及其应用</w:t>
      </w:r>
    </w:p>
    <w:p>
      <w:r>
        <w:rPr>
          <w:rFonts w:ascii="宋体" w:hAnsi="宋体" w:eastAsia="宋体"/>
          <w:sz w:val="24"/>
        </w:rPr>
        <w:t>（德）斯文·克卢斯曼主编（SVEN KIUSSMANN）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核酸适配体手册：功能性寡核苷酸及其应用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（德）斯文·克卢斯曼主编（SVEN KIUSSMANN）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本书出售、求购地址：https://www.jiaokey.com/book/detail/13456479.html</w:t>
      </w:r>
    </w:p>
    <w:p>
      <w:r>
        <w:t>更多相关图书推荐：https://www.jiaokey.com</w:t>
      </w:r>
    </w:p>
    <w:p>
      <w:r>
        <w:t>（德）斯文·克卢斯曼主编（SVEN KIUSSMANN） 其他作品：https://www.jiaokey.com/tag/（德）斯文·克卢斯曼主编（SVEN KIUSSMANN）.html</w:t>
      </w:r>
    </w:p>
    <w:p>
      <w:r>
        <w:t>关键词搜索：https://www.jiaokey.com/tag/核酸适配体手册：功能性寡核苷酸及其应用.html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