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走向人道世纪  谈甘地与印度哲学</w:t>
      </w:r>
    </w:p>
    <w:p>
      <w:r>
        <w:rPr>
          <w:rFonts w:ascii="宋体" w:hAnsi="宋体" w:eastAsia="宋体"/>
          <w:sz w:val="24"/>
        </w:rPr>
        <w:t>（日）池田大作，（印）尼拉坎达·拉达克里希南著；李长声译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走向人道世纪  谈甘地与印度哲学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（日）池田大作，（印）尼拉坎达·拉达克里希南著；李长声译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本书出售、求购地址：https://www.jiaokey.com/book/detail/13456174.html</w:t>
      </w:r>
    </w:p>
    <w:p>
      <w:r>
        <w:t>更多相关图书推荐：https://www.jiaokey.com</w:t>
      </w:r>
    </w:p>
    <w:p>
      <w:r>
        <w:t>（日）池田大作，（印）尼拉坎达·拉达克里希南著；李长声译 其他作品：https://www.jiaokey.com/tag/（日）池田大作，（印）尼拉坎达·拉达克里希南著；李长声译.html</w:t>
      </w:r>
    </w:p>
    <w:p>
      <w:r>
        <w:t>知识产权出版社 出版图书：https://www.jiaokey.com/tag/知识产权出版社.html</w:t>
      </w:r>
    </w:p>
    <w:p>
      <w:r>
        <w:t>关键词搜索：https://www.jiaokey.com/tag/走向人道世纪  谈甘地与印度哲学.html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