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</w:t>
      </w:r>
    </w:p>
    <w:p>
      <w:r>
        <w:rPr>
          <w:rFonts w:ascii="宋体" w:hAnsi="宋体" w:eastAsia="宋体"/>
          <w:sz w:val="24"/>
        </w:rPr>
        <w:t>（日）斋藤一人，（日）柴村惠美子著；赵晓明译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（日）斋藤一人，（日）柴村惠美子著；赵晓明译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本书出售、求购地址：https://www.jiaokey.com/book/detail/13455622.html</w:t>
      </w:r>
    </w:p>
    <w:p>
      <w:r>
        <w:t>更多相关图书推荐：https://www.jiaokey.com</w:t>
      </w:r>
    </w:p>
    <w:p>
      <w:r>
        <w:t>（日）斋藤一人，（日）柴村惠美子著；赵晓明译 其他作品：https://www.jiaokey.com/tag/（日）斋藤一人，（日）柴村惠美子著；赵晓明译.html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