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修复临床病例解析</w:t>
      </w:r>
    </w:p>
    <w:p>
      <w:r>
        <w:rPr>
          <w:rFonts w:ascii="宋体" w:hAnsi="宋体" w:eastAsia="宋体"/>
          <w:sz w:val="24"/>
        </w:rPr>
        <w:t>（美）雷拉·查罕杰，（美）玛尔江·默哈达母，（美）崔美俊著；王贻宁，韦健主译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修复临床病例解析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（美）雷拉·查罕杰，（美）玛尔江·默哈达母，（美）崔美俊著；王贻宁，韦健主译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本书出售、求购地址：https://www.jiaokey.com/book/detail/13455205.html</w:t>
      </w:r>
    </w:p>
    <w:p>
      <w:r>
        <w:t>更多相关图书推荐：https://www.jiaokey.com</w:t>
      </w:r>
    </w:p>
    <w:p>
      <w:r>
        <w:t>（美）雷拉·查罕杰，（美）玛尔江·默哈达母，（美）崔美俊著；王贻宁，韦健主译 其他作品：https://www.jiaokey.com/tag/（美）雷拉·查罕杰，（美）玛尔江·默哈达母，（美）崔美俊著；王贻宁，韦健主译.html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关键词搜索：https://www.jiaokey.com/tag/修复临床病例解析.html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