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古玉概说  第2版</w:t>
      </w:r>
    </w:p>
    <w:p>
      <w:r>
        <w:rPr>
          <w:rFonts w:ascii="宋体" w:hAnsi="宋体" w:eastAsia="宋体"/>
          <w:sz w:val="24"/>
        </w:rPr>
        <w:t>滨田耕作原著；胡启椿译；殷志强配图；内藤虎次郎原序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古玉概说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滨田耕作原著；胡启椿译；殷志强配图；内藤虎次郎原序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本书出售、求购地址：https://www.jiaokey.com/book/detail/13455180.html</w:t>
      </w:r>
    </w:p>
    <w:p>
      <w:r>
        <w:t>更多相关图书推荐：https://www.jiaokey.com</w:t>
      </w:r>
    </w:p>
    <w:p>
      <w:r>
        <w:t>滨田耕作原著；胡启椿译；殷志强配图；内藤虎次郎原序 其他作品：https://www.jiaokey.com/tag/滨田耕作原著；胡启椿译；殷志强配图；内藤虎次郎原序.html</w:t>
      </w:r>
    </w:p>
    <w:p>
      <w:r>
        <w:t>艺术图书公司 出版图书：https://www.jiaokey.com/tag/艺术图书公司.html</w:t>
      </w:r>
    </w:p>
    <w:p>
      <w:r>
        <w:t>关键词搜索：https://www.jiaokey.com/tag/古玉概说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