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农村发展中土地资源保护机制</w:t>
      </w:r>
    </w:p>
    <w:p>
      <w:r>
        <w:rPr>
          <w:rFonts w:ascii="宋体" w:hAnsi="宋体" w:eastAsia="宋体"/>
          <w:sz w:val="24"/>
        </w:rPr>
        <w:t>曲福田，石晓平，马贤磊，李效顺等著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农村发展中土地资源保护机制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曲福田，石晓平，马贤磊，李效顺等著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本书出售、求购地址：https://www.jiaokey.com/book/detail/13454278.html</w:t>
      </w:r>
    </w:p>
    <w:p>
      <w:r>
        <w:t>更多相关图书推荐：https://www.jiaokey.com</w:t>
      </w:r>
    </w:p>
    <w:p>
      <w:r>
        <w:t>曲福田，石晓平，马贤磊，李效顺等著 其他作品：https://www.jiaokey.com/tag/曲福田，石晓平，马贤磊，李效顺等著.html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关键词搜索：https://www.jiaokey.com/tag/农村发展中土地资源保护机制.html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