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邬达克</w:t>
      </w:r>
    </w:p>
    <w:p>
      <w:r>
        <w:rPr>
          <w:rFonts w:ascii="宋体" w:hAnsi="宋体" w:eastAsia="宋体"/>
          <w:sz w:val="24"/>
        </w:rPr>
        <w:t>（意）卢卡·彭切里尼（LucaPoncellini），（匈）尤利娅·切伊迪（JuliaCsejdy）著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邬达克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（意）卢卡·彭切里尼（LucaPoncellini），（匈）尤利娅·切伊迪（JuliaCsejdy）著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本书出售、求购地址：https://www.jiaokey.com/book/detail/13452353.html</w:t>
      </w:r>
    </w:p>
    <w:p>
      <w:r>
        <w:t>更多相关图书推荐：https://www.jiaokey.com</w:t>
      </w:r>
    </w:p>
    <w:p>
      <w:r>
        <w:t>（意）卢卡·彭切里尼（LucaPoncellini），（匈）尤利娅·切伊迪（JuliaCsejdy）著 其他作品：https://www.jiaokey.com/tag/（意）卢卡·彭切里尼（LucaPoncellini），（匈）尤利娅·切伊迪（JuliaCsejdy）著.html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关键词搜索：https://www.jiaokey.com/tag/邬达克.html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