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胎心产力图临床意义与分娩镇痛</w:t>
      </w:r>
    </w:p>
    <w:p>
      <w:r>
        <w:rPr>
          <w:rFonts w:ascii="宋体" w:hAnsi="宋体" w:eastAsia="宋体"/>
          <w:sz w:val="24"/>
        </w:rPr>
        <w:t>成黛丽，张学洁，成曼丽编译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胎心产力图临床意义与分娩镇痛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成黛丽，张学洁，成曼丽编译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本书出售、求购地址：https://www.jiaokey.com/book/detail/13451430.html</w:t>
      </w:r>
    </w:p>
    <w:p>
      <w:r>
        <w:t>更多相关图书推荐：https://www.jiaokey.com</w:t>
      </w:r>
    </w:p>
    <w:p>
      <w:r>
        <w:t>成黛丽，张学洁，成曼丽编译 其他作品：https://www.jiaokey.com/tag/成黛丽，张学洁，成曼丽编译.html</w:t>
      </w:r>
    </w:p>
    <w:p>
      <w:r>
        <w:t>中国医药出版社 出版图书：https://www.jiaokey.com/tag/中国医药出版社.html</w:t>
      </w:r>
    </w:p>
    <w:p>
      <w:r>
        <w:t>关键词搜索：https://www.jiaokey.com/tag/胎心产力图临床意义与分娩镇痛.html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