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河北省严重缺水系统识别与综合应对方略研究</w:t>
      </w:r>
    </w:p>
    <w:p>
      <w:r>
        <w:rPr>
          <w:rFonts w:ascii="宋体" w:hAnsi="宋体" w:eastAsia="宋体"/>
          <w:sz w:val="24"/>
        </w:rPr>
        <w:t>王建华，冯战洪，李海红，卢双宝，赵勇，赵玲等著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河北省严重缺水系统识别与综合应对方略研究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王建华，冯战洪，李海红，卢双宝，赵勇，赵玲等著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本书出售、求购地址：https://www.jiaokey.com/book/detail/13449281.html</w:t>
      </w:r>
    </w:p>
    <w:p>
      <w:r>
        <w:t>更多相关图书推荐：https://www.jiaokey.com</w:t>
      </w:r>
    </w:p>
    <w:p>
      <w:r>
        <w:t>王建华，冯战洪，李海红，卢双宝，赵勇，赵玲等著 其他作品：https://www.jiaokey.com/tag/王建华，冯战洪，李海红，卢双宝，赵勇，赵玲等著.html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关键词搜索：https://www.jiaokey.com/tag/河北省严重缺水系统识别与综合应对方略研究.html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