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田径裁判实用教程</w:t>
      </w:r>
    </w:p>
    <w:p>
      <w:r>
        <w:rPr>
          <w:rFonts w:ascii="宋体" w:hAnsi="宋体" w:eastAsia="宋体"/>
          <w:sz w:val="24"/>
        </w:rPr>
        <w:t>袁吉，袁林，麻新远主编；董玉峰，华景梅，赵金锋等副主编；王福军，李亮，刘东波编委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田径裁判实用教程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袁吉，袁林，麻新远主编；董玉峰，华景梅，赵金锋等副主编；王福军，李亮，刘东波编委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本书出售、求购地址：https://www.jiaokey.com/book/detail/13448917.html</w:t>
      </w:r>
    </w:p>
    <w:p>
      <w:r>
        <w:t>更多相关图书推荐：https://www.jiaokey.com</w:t>
      </w:r>
    </w:p>
    <w:p>
      <w:r>
        <w:t>袁吉，袁林，麻新远主编；董玉峰，华景梅，赵金锋等副主编；王福军，李亮，刘东波编委 其他作品：https://www.jiaokey.com/tag/袁吉，袁林，麻新远主编；董玉峰，华景梅，赵金锋等副主编；王福军，李亮，刘东波编委.html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关键词搜索：https://www.jiaokey.com/tag/田径裁判实用教程.html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