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氯碱生产与操作</w:t>
      </w:r>
    </w:p>
    <w:p>
      <w:r>
        <w:rPr>
          <w:rFonts w:ascii="宋体" w:hAnsi="宋体" w:eastAsia="宋体"/>
          <w:sz w:val="24"/>
        </w:rPr>
        <w:t>张艳君，魏凤琴主编；李慧，王贤纲副主编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氯碱生产与操作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张艳君，魏凤琴主编；李慧，王贤纲副主编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本书出售、求购地址：https://www.jiaokey.com/book/detail/13447881.html</w:t>
      </w:r>
    </w:p>
    <w:p>
      <w:r>
        <w:t>更多相关图书推荐：https://www.jiaokey.com</w:t>
      </w:r>
    </w:p>
    <w:p>
      <w:r>
        <w:t>张艳君，魏凤琴主编；李慧，王贤纲副主编 其他作品：https://www.jiaokey.com/tag/张艳君，魏凤琴主编；李慧，王贤纲副主编.html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关键词搜索：https://www.jiaokey.com/tag/氯碱生产与操作.html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