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日本流通相关法律解读</w:t>
      </w:r>
    </w:p>
    <w:p>
      <w:r>
        <w:rPr>
          <w:rFonts w:ascii="宋体" w:hAnsi="宋体" w:eastAsia="宋体"/>
          <w:sz w:val="24"/>
        </w:rPr>
        <w:t>翁心刚，姜旭主编；郑可人，胡贵彦，李晓晖等副主编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日本流通相关法律解读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翁心刚，姜旭主编；郑可人，胡贵彦，李晓晖等副主编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本书出售、求购地址：https://www.jiaokey.com/book/detail/13446314.html</w:t>
      </w:r>
    </w:p>
    <w:p>
      <w:r>
        <w:t>更多相关图书推荐：https://www.jiaokey.com</w:t>
      </w:r>
    </w:p>
    <w:p>
      <w:r>
        <w:t>翁心刚，姜旭主编；郑可人，胡贵彦，李晓晖等副主编 其他作品：https://www.jiaokey.com/tag/翁心刚，姜旭主编；郑可人，胡贵彦，李晓晖等副主编.html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关键词搜索：https://www.jiaokey.com/tag/日本流通相关法律解读.html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