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OSGi与Equinox  创建高度模块化的Java系统</w:t>
      </w:r>
    </w:p>
    <w:p>
      <w:r>
        <w:rPr>
          <w:rFonts w:ascii="宋体" w:hAnsi="宋体" w:eastAsia="宋体"/>
          <w:sz w:val="24"/>
        </w:rPr>
        <w:t>（美）麦克艾弗，（美）万德雷，（美）阿彻著；郭庆，李楠，池建强译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OSGi与Equinox  创建高度模块化的Java系统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（美）麦克艾弗，（美）万德雷，（美）阿彻著；郭庆，李楠，池建强译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本书出售、求购地址：https://www.jiaokey.com/book/detail/13441350.html</w:t>
      </w:r>
    </w:p>
    <w:p>
      <w:r>
        <w:t>更多相关图书推荐：https://www.jiaokey.com</w:t>
      </w:r>
    </w:p>
    <w:p>
      <w:r>
        <w:t>（美）麦克艾弗，（美）万德雷，（美）阿彻著；郭庆，李楠，池建强译 其他作品：https://www.jiaokey.com/tag/（美）麦克艾弗，（美）万德雷，（美）阿彻著；郭庆，李楠，池建强译.html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关键词搜索：https://www.jiaokey.com/tag/OSGi与Equinox  创建高度模块化的Java系统.html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