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耕地保护的经济补偿机制研究</w:t>
      </w:r>
    </w:p>
    <w:p>
      <w:r>
        <w:rPr>
          <w:rFonts w:ascii="宋体" w:hAnsi="宋体" w:eastAsia="宋体"/>
          <w:sz w:val="24"/>
        </w:rPr>
        <w:t>杜伟，黄敏，黄海阳，曾令秋，魏刚，张晓宏著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耕地保护的经济补偿机制研究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杜伟，黄敏，黄海阳，曾令秋，魏刚，张晓宏著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本书出售、求购地址：https://www.jiaokey.com/book/detail/13438425.html</w:t>
      </w:r>
    </w:p>
    <w:p>
      <w:r>
        <w:t>更多相关图书推荐：https://www.jiaokey.com</w:t>
      </w:r>
    </w:p>
    <w:p>
      <w:r>
        <w:t>杜伟，黄敏，黄海阳，曾令秋，魏刚，张晓宏著 其他作品：https://www.jiaokey.com/tag/杜伟，黄敏，黄海阳，曾令秋，魏刚，张晓宏著.html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关键词搜索：https://www.jiaokey.com/tag/耕地保护的经济补偿机制研究.html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