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企业新会计制度实用手册</w:t>
      </w:r>
    </w:p>
    <w:p>
      <w:r>
        <w:rPr>
          <w:rFonts w:ascii="宋体" w:hAnsi="宋体" w:eastAsia="宋体"/>
          <w:sz w:val="24"/>
        </w:rPr>
        <w:t>温健辉，邵汝材主编；广州市财政局《企业新会计制度实用手册》编写组编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企业新会计制度实用手册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温健辉，邵汝材主编；广州市财政局《企业新会计制度实用手册》编写组编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本书出售、求购地址：https://www.jiaokey.com/book/detail/13438222.html</w:t>
      </w:r>
    </w:p>
    <w:p>
      <w:r>
        <w:t>更多相关图书推荐：https://www.jiaokey.com</w:t>
      </w:r>
    </w:p>
    <w:p>
      <w:r>
        <w:t>温健辉，邵汝材主编；广州市财政局《企业新会计制度实用手册》编写组编 其他作品：https://www.jiaokey.com/tag/温健辉，邵汝材主编；广州市财政局《企业新会计制度实用手册》编写组编.html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关键词搜索：https://www.jiaokey.com/tag/企业新会计制度实用手册.html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