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  财富版</w:t>
      </w:r>
    </w:p>
    <w:p>
      <w:r>
        <w:rPr>
          <w:rFonts w:ascii="宋体" w:hAnsi="宋体" w:eastAsia="宋体"/>
          <w:sz w:val="24"/>
        </w:rPr>
        <w:t>（美）沃特尔斯著；吉家乐编译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  财富版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（美）沃特尔斯著；吉家乐编译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本书出售、求购地址：https://www.jiaokey.com/book/detail/13434714.html</w:t>
      </w:r>
    </w:p>
    <w:p>
      <w:r>
        <w:t>更多相关图书推荐：https://www.jiaokey.com</w:t>
      </w:r>
    </w:p>
    <w:p>
      <w:r>
        <w:t>（美）沃特尔斯著；吉家乐编译 其他作品：https://www.jiaokey.com/tag/（美）沃特尔斯著；吉家乐编译.html</w:t>
      </w:r>
    </w:p>
    <w:p>
      <w:r>
        <w:t>中国华侨出版社 出版图书：https://www.jiaokey.com/tag/中国华侨出版社.html</w:t>
      </w:r>
    </w:p>
    <w:p>
      <w:r>
        <w:t>关键词搜索：https://www.jiaokey.com/tag/正能量  财富版.html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